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8D9F4">
      <w:pPr>
        <w:rPr>
          <w:rFonts w:hint="eastAsia" w:ascii="宋体" w:hAnsi="宋体" w:eastAsia="宋体" w:cs="宋体"/>
          <w:b/>
          <w:bCs/>
          <w:sz w:val="44"/>
          <w:szCs w:val="44"/>
        </w:rPr>
      </w:pPr>
      <w:r>
        <w:rPr>
          <w:rFonts w:hint="eastAsia" w:ascii="Times New Roman" w:hAnsi="Times New Roman" w:eastAsia="仿宋" w:cs="Times New Roman"/>
          <w:sz w:val="28"/>
          <w:szCs w:val="28"/>
        </w:rPr>
        <w:t>附件</w:t>
      </w:r>
      <w:r>
        <w:rPr>
          <w:rFonts w:hint="eastAsia" w:ascii="Times New Roman" w:hAnsi="Times New Roman" w:eastAsia="仿宋" w:cs="Times New Roman"/>
          <w:sz w:val="28"/>
          <w:szCs w:val="28"/>
          <w:lang w:val="en-US" w:eastAsia="zh-CN"/>
        </w:rPr>
        <w:t>1</w:t>
      </w:r>
    </w:p>
    <w:p w14:paraId="0EAF22BC">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VOCs在线监测数据</w:t>
      </w:r>
      <w:r>
        <w:rPr>
          <w:rFonts w:hint="eastAsia" w:ascii="宋体" w:hAnsi="宋体" w:eastAsia="宋体" w:cs="宋体"/>
          <w:b/>
          <w:bCs/>
          <w:sz w:val="44"/>
          <w:szCs w:val="44"/>
          <w:lang w:val="en-US" w:eastAsia="zh-CN"/>
        </w:rPr>
        <w:t>智能</w:t>
      </w:r>
      <w:r>
        <w:rPr>
          <w:rFonts w:hint="eastAsia" w:ascii="宋体" w:hAnsi="宋体" w:eastAsia="宋体" w:cs="宋体"/>
          <w:b/>
          <w:bCs/>
          <w:sz w:val="44"/>
          <w:szCs w:val="44"/>
        </w:rPr>
        <w:t>审核技术比对</w:t>
      </w:r>
    </w:p>
    <w:p w14:paraId="74F372A5">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初步</w:t>
      </w:r>
      <w:r>
        <w:rPr>
          <w:rFonts w:hint="eastAsia" w:ascii="宋体" w:hAnsi="宋体" w:eastAsia="宋体" w:cs="宋体"/>
          <w:b/>
          <w:bCs/>
          <w:sz w:val="44"/>
          <w:szCs w:val="44"/>
        </w:rPr>
        <w:t>方案</w:t>
      </w:r>
    </w:p>
    <w:p w14:paraId="7C32DF14">
      <w:pPr>
        <w:spacing w:line="360" w:lineRule="auto"/>
        <w:jc w:val="center"/>
        <w:rPr>
          <w:rFonts w:hint="eastAsia" w:ascii="宋体" w:hAnsi="宋体" w:eastAsia="宋体" w:cs="宋体"/>
          <w:b/>
          <w:bCs/>
          <w:sz w:val="32"/>
          <w:szCs w:val="40"/>
        </w:rPr>
      </w:pPr>
    </w:p>
    <w:p w14:paraId="338AA9DF">
      <w:pPr>
        <w:keepNext w:val="0"/>
        <w:keepLines w:val="0"/>
        <w:widowControl/>
        <w:suppressLineNumbers w:val="0"/>
        <w:ind w:firstLine="560" w:firstLineChars="200"/>
        <w:jc w:val="both"/>
        <w:rPr>
          <w:rFonts w:hint="eastAsia" w:ascii="仿宋_GB2312" w:hAnsi="仿宋_GB2312" w:eastAsia="仿宋_GB2312" w:cs="仿宋_GB2312"/>
          <w:lang w:val="en-US"/>
        </w:rPr>
      </w:pPr>
      <w:bookmarkStart w:id="0" w:name="_Toc24487"/>
      <w:r>
        <w:rPr>
          <w:rFonts w:hint="eastAsia" w:ascii="仿宋_GB2312" w:hAnsi="仿宋_GB2312" w:eastAsia="仿宋_GB2312" w:cs="仿宋_GB2312"/>
          <w:color w:val="000000"/>
          <w:kern w:val="0"/>
          <w:sz w:val="28"/>
          <w:szCs w:val="28"/>
          <w:lang w:val="en-US" w:eastAsia="zh-CN" w:bidi="ar"/>
        </w:rPr>
        <w:t>为进一步落实</w:t>
      </w:r>
      <w:r>
        <w:rPr>
          <w:rFonts w:hint="eastAsia" w:ascii="仿宋_GB2312" w:hAnsi="仿宋_GB2312" w:eastAsia="仿宋_GB2312" w:cs="仿宋_GB2312"/>
          <w:color w:val="000000"/>
          <w:kern w:val="0"/>
          <w:sz w:val="28"/>
          <w:szCs w:val="28"/>
          <w:highlight w:val="none"/>
          <w:lang w:val="en-US" w:eastAsia="zh-CN" w:bidi="ar"/>
        </w:rPr>
        <w:t>《关于全面推进美丽中国建设的意见》部署，加快建立现代化生态环境监测体系，</w:t>
      </w:r>
      <w:r>
        <w:rPr>
          <w:rFonts w:hint="eastAsia" w:ascii="仿宋_GB2312" w:hAnsi="仿宋_GB2312" w:eastAsia="仿宋_GB2312" w:cs="仿宋_GB2312"/>
          <w:color w:val="000000"/>
          <w:kern w:val="0"/>
          <w:sz w:val="28"/>
          <w:szCs w:val="28"/>
          <w:lang w:val="en-US" w:eastAsia="zh-CN" w:bidi="ar"/>
        </w:rPr>
        <w:t>提升环境空气成分监测网运行管理智能化水平，生态环境部区域空气质量监测重点实验室（下简称“重点实验室”）拟于2025年5月-10月开展VOCs在线监测数据智能审核技术比对，</w:t>
      </w:r>
      <w:r>
        <w:rPr>
          <w:rFonts w:hint="eastAsia" w:ascii="仿宋_GB2312" w:hAnsi="仿宋_GB2312" w:eastAsia="仿宋_GB2312" w:cs="仿宋_GB2312"/>
          <w:bCs/>
          <w:sz w:val="28"/>
          <w:szCs w:val="28"/>
        </w:rPr>
        <w:t>以掌握现有VOCs在线监测设备自动积分</w:t>
      </w:r>
      <w:r>
        <w:rPr>
          <w:rFonts w:hint="eastAsia" w:ascii="仿宋_GB2312" w:hAnsi="仿宋_GB2312" w:eastAsia="仿宋_GB2312" w:cs="仿宋_GB2312"/>
          <w:bCs/>
          <w:sz w:val="28"/>
          <w:szCs w:val="28"/>
          <w:lang w:val="en-US" w:eastAsia="zh-CN"/>
        </w:rPr>
        <w:t>等</w:t>
      </w:r>
      <w:r>
        <w:rPr>
          <w:rFonts w:hint="eastAsia" w:ascii="仿宋_GB2312" w:hAnsi="仿宋_GB2312" w:eastAsia="仿宋_GB2312" w:cs="仿宋_GB2312"/>
          <w:bCs/>
          <w:sz w:val="28"/>
          <w:szCs w:val="28"/>
        </w:rPr>
        <w:t>智能数据审核技术等情况，摸索与开发成分监测设备自动质控等数智化技术，为我省乃至全国的成分监测设备智能化升级</w:t>
      </w:r>
      <w:r>
        <w:rPr>
          <w:rFonts w:hint="eastAsia" w:ascii="仿宋_GB2312" w:hAnsi="仿宋_GB2312" w:eastAsia="仿宋_GB2312" w:cs="仿宋_GB2312"/>
          <w:bCs/>
          <w:sz w:val="28"/>
          <w:szCs w:val="28"/>
          <w:lang w:val="en-US" w:eastAsia="zh-CN"/>
        </w:rPr>
        <w:t>改造</w:t>
      </w:r>
      <w:r>
        <w:rPr>
          <w:rFonts w:hint="eastAsia" w:ascii="仿宋_GB2312" w:hAnsi="仿宋_GB2312" w:eastAsia="仿宋_GB2312" w:cs="仿宋_GB2312"/>
          <w:bCs/>
          <w:sz w:val="28"/>
          <w:szCs w:val="28"/>
        </w:rPr>
        <w:t>提供</w:t>
      </w:r>
      <w:r>
        <w:rPr>
          <w:rFonts w:hint="eastAsia" w:ascii="仿宋_GB2312" w:hAnsi="仿宋_GB2312" w:eastAsia="仿宋_GB2312" w:cs="仿宋_GB2312"/>
          <w:bCs/>
          <w:sz w:val="28"/>
          <w:szCs w:val="28"/>
          <w:lang w:val="en-US" w:eastAsia="zh-CN"/>
        </w:rPr>
        <w:t>参考</w:t>
      </w:r>
      <w:r>
        <w:rPr>
          <w:rFonts w:hint="eastAsia" w:ascii="仿宋_GB2312" w:hAnsi="仿宋_GB2312" w:eastAsia="仿宋_GB2312" w:cs="仿宋_GB2312"/>
          <w:bCs/>
          <w:sz w:val="28"/>
          <w:szCs w:val="28"/>
        </w:rPr>
        <w:t>。</w:t>
      </w:r>
    </w:p>
    <w:p w14:paraId="019D18B9">
      <w:pPr>
        <w:pStyle w:val="2"/>
        <w:numPr>
          <w:ilvl w:val="0"/>
          <w:numId w:val="1"/>
        </w:numPr>
        <w:snapToGrid w:val="0"/>
        <w:spacing w:before="0" w:after="0" w:line="360" w:lineRule="auto"/>
        <w:ind w:firstLine="562" w:firstLineChars="200"/>
        <w:rPr>
          <w:rFonts w:hint="eastAsia" w:ascii="黑体" w:hAnsi="黑体" w:eastAsia="黑体"/>
          <w:sz w:val="28"/>
          <w:szCs w:val="28"/>
        </w:rPr>
      </w:pPr>
      <w:r>
        <w:rPr>
          <w:rFonts w:hint="eastAsia" w:ascii="黑体" w:hAnsi="黑体" w:eastAsia="黑体"/>
          <w:sz w:val="28"/>
          <w:szCs w:val="28"/>
          <w:lang w:val="en-US" w:eastAsia="zh-CN"/>
        </w:rPr>
        <w:t>实施依据</w:t>
      </w:r>
    </w:p>
    <w:p w14:paraId="2268F9E7">
      <w:pPr>
        <w:keepNext w:val="0"/>
        <w:keepLines w:val="0"/>
        <w:widowControl/>
        <w:numPr>
          <w:ilvl w:val="0"/>
          <w:numId w:val="2"/>
        </w:numPr>
        <w:suppressLineNumbers w:val="0"/>
        <w:ind w:firstLine="560"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《国家生态环境监测网络数智化转型方案》（环办监测〔2025〕8号）</w:t>
      </w:r>
    </w:p>
    <w:p w14:paraId="58E03660">
      <w:pPr>
        <w:keepNext w:val="0"/>
        <w:keepLines w:val="0"/>
        <w:widowControl/>
        <w:numPr>
          <w:ilvl w:val="0"/>
          <w:numId w:val="2"/>
        </w:numPr>
        <w:suppressLineNumbers w:val="0"/>
        <w:ind w:firstLine="560"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《关于加快建立现代化生态环境监测体系的实施意见》（环监测〔2024〕17号）</w:t>
      </w:r>
    </w:p>
    <w:p w14:paraId="2473D8B6">
      <w:pPr>
        <w:keepNext w:val="0"/>
        <w:keepLines w:val="0"/>
        <w:widowControl/>
        <w:numPr>
          <w:ilvl w:val="0"/>
          <w:numId w:val="2"/>
        </w:numPr>
        <w:suppressLineNumbers w:val="0"/>
        <w:ind w:firstLine="560"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《国家大气光化学监测网自动监测数据审核技术指南（2021版）（试行）》</w:t>
      </w:r>
    </w:p>
    <w:p w14:paraId="039BFEC8">
      <w:pPr>
        <w:keepNext w:val="0"/>
        <w:keepLines w:val="0"/>
        <w:widowControl/>
        <w:numPr>
          <w:ilvl w:val="0"/>
          <w:numId w:val="2"/>
        </w:numPr>
        <w:suppressLineNumbers w:val="0"/>
        <w:ind w:firstLine="560"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《国家环境空气监测网环境空气挥发性有机物连续自动监测质量控制技术规定》</w:t>
      </w:r>
    </w:p>
    <w:p w14:paraId="0CBC96AD">
      <w:pPr>
        <w:numPr>
          <w:ilvl w:val="0"/>
          <w:numId w:val="1"/>
        </w:numPr>
        <w:ind w:left="0" w:leftChars="0" w:firstLine="562" w:firstLineChars="200"/>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实施原则</w:t>
      </w:r>
    </w:p>
    <w:p w14:paraId="5EF066D4">
      <w:pPr>
        <w:snapToGrid w:val="0"/>
        <w:spacing w:line="360" w:lineRule="auto"/>
        <w:ind w:firstLine="60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公平性</w:t>
      </w:r>
      <w:r>
        <w:rPr>
          <w:rFonts w:hint="eastAsia" w:ascii="仿宋_GB2312" w:hAnsi="仿宋_GB2312" w:eastAsia="仿宋_GB2312" w:cs="仿宋_GB2312"/>
          <w:sz w:val="28"/>
          <w:szCs w:val="28"/>
        </w:rPr>
        <w:t>：测试比对过程中，制定严谨的实施、监督及评审方案，确保所有参加比对的技术结果同类可比。</w:t>
      </w:r>
    </w:p>
    <w:p w14:paraId="0E491416">
      <w:pPr>
        <w:snapToGrid w:val="0"/>
        <w:spacing w:line="360" w:lineRule="auto"/>
        <w:ind w:firstLine="60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公正性</w:t>
      </w:r>
      <w:r>
        <w:rPr>
          <w:rFonts w:hint="eastAsia" w:ascii="仿宋_GB2312" w:hAnsi="仿宋_GB2312" w:eastAsia="仿宋_GB2312" w:cs="仿宋_GB2312"/>
          <w:sz w:val="28"/>
          <w:szCs w:val="28"/>
        </w:rPr>
        <w:t>：将聘请和所有参与比对</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没有利益关系的技术专家对比对方案和结果审核，</w:t>
      </w:r>
      <w:r>
        <w:rPr>
          <w:rFonts w:hint="eastAsia" w:ascii="仿宋_GB2312" w:hAnsi="仿宋_GB2312" w:eastAsia="仿宋_GB2312" w:cs="仿宋_GB2312"/>
          <w:sz w:val="28"/>
          <w:szCs w:val="28"/>
          <w:lang w:val="en-US" w:eastAsia="zh-CN"/>
        </w:rPr>
        <w:t>并安排与参与比对单位无利益关系的</w:t>
      </w:r>
      <w:r>
        <w:rPr>
          <w:rFonts w:hint="eastAsia" w:ascii="仿宋_GB2312" w:hAnsi="仿宋_GB2312" w:eastAsia="仿宋_GB2312" w:cs="仿宋_GB2312"/>
          <w:sz w:val="28"/>
          <w:szCs w:val="28"/>
        </w:rPr>
        <w:t>独立第三方</w:t>
      </w:r>
      <w:r>
        <w:rPr>
          <w:rFonts w:hint="eastAsia" w:ascii="仿宋_GB2312" w:hAnsi="仿宋_GB2312" w:eastAsia="仿宋_GB2312" w:cs="仿宋_GB2312"/>
          <w:sz w:val="28"/>
          <w:szCs w:val="28"/>
          <w:lang w:val="en-US" w:eastAsia="zh-CN"/>
        </w:rPr>
        <w:t>公司</w:t>
      </w:r>
      <w:r>
        <w:rPr>
          <w:rFonts w:hint="eastAsia" w:ascii="仿宋_GB2312" w:hAnsi="仿宋_GB2312" w:eastAsia="仿宋_GB2312" w:cs="仿宋_GB2312"/>
          <w:sz w:val="28"/>
          <w:szCs w:val="28"/>
        </w:rPr>
        <w:t>进行人工</w:t>
      </w:r>
      <w:r>
        <w:rPr>
          <w:rFonts w:hint="eastAsia" w:ascii="仿宋_GB2312" w:hAnsi="仿宋_GB2312" w:eastAsia="仿宋_GB2312" w:cs="仿宋_GB2312"/>
          <w:sz w:val="28"/>
          <w:szCs w:val="28"/>
          <w:lang w:val="en-US" w:eastAsia="zh-CN"/>
        </w:rPr>
        <w:t>积分与</w:t>
      </w:r>
      <w:r>
        <w:rPr>
          <w:rFonts w:hint="eastAsia" w:ascii="仿宋_GB2312" w:hAnsi="仿宋_GB2312" w:eastAsia="仿宋_GB2312" w:cs="仿宋_GB2312"/>
          <w:sz w:val="28"/>
          <w:szCs w:val="28"/>
        </w:rPr>
        <w:t>审核数据整理。</w:t>
      </w:r>
    </w:p>
    <w:p w14:paraId="172EA58D">
      <w:pPr>
        <w:snapToGrid w:val="0"/>
        <w:spacing w:line="360" w:lineRule="auto"/>
        <w:ind w:firstLine="60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独立性：</w:t>
      </w:r>
      <w:r>
        <w:rPr>
          <w:rFonts w:hint="eastAsia" w:ascii="仿宋_GB2312" w:hAnsi="仿宋_GB2312" w:eastAsia="仿宋_GB2312" w:cs="仿宋_GB2312"/>
          <w:sz w:val="28"/>
          <w:szCs w:val="28"/>
        </w:rPr>
        <w:t>各比对单位设备应独立运行，不得干扰其他比对单位设备运行，不得影响测试的在线监测设备正常运行</w:t>
      </w:r>
      <w:r>
        <w:rPr>
          <w:rFonts w:hint="eastAsia" w:ascii="仿宋_GB2312" w:hAnsi="仿宋_GB2312" w:eastAsia="仿宋_GB2312" w:cs="仿宋_GB2312"/>
          <w:sz w:val="28"/>
          <w:szCs w:val="28"/>
          <w:lang w:eastAsia="zh-CN"/>
        </w:rPr>
        <w:t>。若出现以上情况，</w:t>
      </w:r>
      <w:r>
        <w:rPr>
          <w:rFonts w:hint="eastAsia" w:ascii="仿宋_GB2312" w:hAnsi="仿宋_GB2312" w:eastAsia="仿宋_GB2312" w:cs="仿宋_GB2312"/>
          <w:sz w:val="28"/>
          <w:szCs w:val="28"/>
        </w:rPr>
        <w:t>参与比对</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须承担相应责任</w:t>
      </w:r>
      <w:r>
        <w:rPr>
          <w:rFonts w:hint="eastAsia" w:ascii="仿宋_GB2312" w:hAnsi="仿宋_GB2312" w:eastAsia="仿宋_GB2312" w:cs="仿宋_GB2312"/>
          <w:sz w:val="28"/>
          <w:szCs w:val="28"/>
        </w:rPr>
        <w:t>。</w:t>
      </w:r>
    </w:p>
    <w:p w14:paraId="0AFA2DD4">
      <w:pPr>
        <w:numPr>
          <w:ilvl w:val="0"/>
          <w:numId w:val="0"/>
        </w:num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保密性：</w:t>
      </w:r>
      <w:r>
        <w:rPr>
          <w:rFonts w:hint="eastAsia" w:ascii="仿宋_GB2312" w:hAnsi="仿宋_GB2312" w:eastAsia="仿宋_GB2312" w:cs="仿宋_GB2312"/>
          <w:sz w:val="28"/>
          <w:szCs w:val="28"/>
        </w:rPr>
        <w:t>参与比对</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应恪尽保密义务，采取有效措施确保实施过程中接触到的关于</w:t>
      </w:r>
      <w:r>
        <w:rPr>
          <w:rFonts w:hint="eastAsia" w:ascii="仿宋_GB2312" w:hAnsi="仿宋_GB2312" w:eastAsia="仿宋_GB2312" w:cs="仿宋_GB2312"/>
          <w:sz w:val="28"/>
          <w:szCs w:val="28"/>
          <w:lang w:val="en-US" w:eastAsia="zh-CN"/>
        </w:rPr>
        <w:t>重点实验室</w:t>
      </w:r>
      <w:r>
        <w:rPr>
          <w:rFonts w:hint="eastAsia" w:ascii="仿宋_GB2312" w:hAnsi="仿宋_GB2312" w:eastAsia="仿宋_GB2312" w:cs="仿宋_GB2312"/>
          <w:sz w:val="28"/>
          <w:szCs w:val="28"/>
        </w:rPr>
        <w:t>一切工作信息、数据资料和成果等信息安全，未经</w:t>
      </w:r>
      <w:r>
        <w:rPr>
          <w:rFonts w:hint="eastAsia" w:ascii="仿宋_GB2312" w:hAnsi="仿宋_GB2312" w:eastAsia="仿宋_GB2312" w:cs="仿宋_GB2312"/>
          <w:sz w:val="28"/>
          <w:szCs w:val="28"/>
          <w:lang w:val="en-US" w:eastAsia="zh-CN"/>
        </w:rPr>
        <w:t>重点实验室</w:t>
      </w:r>
      <w:r>
        <w:rPr>
          <w:rFonts w:hint="eastAsia" w:ascii="仿宋_GB2312" w:hAnsi="仿宋_GB2312" w:eastAsia="仿宋_GB2312" w:cs="仿宋_GB2312"/>
          <w:sz w:val="28"/>
          <w:szCs w:val="28"/>
        </w:rPr>
        <w:t>同意，不得全部或部分泄漏、告知、复制、传播、或对外发表、或为自己及第三人使用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sz w:val="28"/>
          <w:szCs w:val="28"/>
          <w:lang w:val="en-US" w:eastAsia="zh-CN"/>
        </w:rPr>
        <w:t>对违规行为须承担相应法律责任及后果</w:t>
      </w:r>
      <w:r>
        <w:rPr>
          <w:rFonts w:hint="eastAsia" w:ascii="仿宋_GB2312" w:hAnsi="仿宋_GB2312" w:eastAsia="仿宋_GB2312" w:cs="仿宋_GB2312"/>
          <w:sz w:val="28"/>
          <w:szCs w:val="28"/>
        </w:rPr>
        <w:t>。</w:t>
      </w:r>
    </w:p>
    <w:p w14:paraId="5055B121">
      <w:pPr>
        <w:numPr>
          <w:ilvl w:val="0"/>
          <w:numId w:val="0"/>
        </w:numPr>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廉洁性：</w:t>
      </w:r>
      <w:r>
        <w:rPr>
          <w:rFonts w:hint="eastAsia" w:ascii="仿宋_GB2312" w:hAnsi="仿宋_GB2312" w:eastAsia="仿宋_GB2312" w:cs="仿宋_GB2312"/>
          <w:sz w:val="28"/>
          <w:szCs w:val="28"/>
        </w:rPr>
        <w:t>各比对</w:t>
      </w:r>
      <w:r>
        <w:rPr>
          <w:rFonts w:hint="eastAsia" w:ascii="仿宋_GB2312" w:hAnsi="仿宋_GB2312" w:eastAsia="仿宋_GB2312" w:cs="仿宋_GB2312"/>
          <w:b w:val="0"/>
          <w:bCs w:val="0"/>
          <w:sz w:val="28"/>
          <w:szCs w:val="28"/>
          <w:lang w:val="en-US" w:eastAsia="zh-CN"/>
        </w:rPr>
        <w:t>单位及人员须严格遵守国家法律法规和行业规范，坚守廉洁自律底线，严禁以任何形式向重点实验室、评审专家或相关工作人员输送财物、提供宴请、安排娱乐活动等形式开展不正当竞争，自觉接受廉政监督，对违规行为须承担相应法律责任及后果。</w:t>
      </w:r>
    </w:p>
    <w:p w14:paraId="129EB957">
      <w:pPr>
        <w:numPr>
          <w:ilvl w:val="0"/>
          <w:numId w:val="1"/>
        </w:numPr>
        <w:ind w:left="0" w:leftChars="0" w:firstLine="562" w:firstLineChars="200"/>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比对内容</w:t>
      </w:r>
    </w:p>
    <w:p w14:paraId="1A74B6C3">
      <w:pPr>
        <w:adjustRightInd w:val="0"/>
        <w:spacing w:line="360" w:lineRule="auto"/>
        <w:ind w:firstLine="6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val="en-US" w:eastAsia="zh-CN"/>
        </w:rPr>
        <w:t>1、</w:t>
      </w:r>
      <w:r>
        <w:rPr>
          <w:rFonts w:hint="eastAsia" w:ascii="仿宋_GB2312" w:hAnsi="仿宋_GB2312" w:eastAsia="仿宋_GB2312" w:cs="仿宋_GB2312"/>
          <w:b/>
          <w:kern w:val="0"/>
          <w:sz w:val="28"/>
          <w:szCs w:val="28"/>
        </w:rPr>
        <w:t>比对</w:t>
      </w:r>
      <w:r>
        <w:rPr>
          <w:rFonts w:hint="eastAsia" w:ascii="仿宋_GB2312" w:hAnsi="仿宋_GB2312" w:eastAsia="仿宋_GB2312" w:cs="仿宋_GB2312"/>
          <w:b/>
          <w:kern w:val="0"/>
          <w:sz w:val="28"/>
          <w:szCs w:val="28"/>
          <w:lang w:val="en-US" w:eastAsia="zh-CN"/>
        </w:rPr>
        <w:t>场地与</w:t>
      </w:r>
      <w:r>
        <w:rPr>
          <w:rFonts w:hint="eastAsia" w:ascii="仿宋_GB2312" w:hAnsi="仿宋_GB2312" w:eastAsia="仿宋_GB2312" w:cs="仿宋_GB2312"/>
          <w:b/>
          <w:kern w:val="0"/>
          <w:sz w:val="28"/>
          <w:szCs w:val="28"/>
        </w:rPr>
        <w:t>设备信息</w:t>
      </w:r>
    </w:p>
    <w:p w14:paraId="4758C704">
      <w:pPr>
        <w:adjustRightInd w:val="0"/>
        <w:spacing w:line="360" w:lineRule="auto"/>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重点实验室为本次比对提供</w:t>
      </w:r>
      <w:r>
        <w:rPr>
          <w:rFonts w:hint="eastAsia" w:ascii="仿宋_GB2312" w:hAnsi="仿宋_GB2312" w:eastAsia="仿宋_GB2312" w:cs="仿宋_GB2312"/>
          <w:sz w:val="28"/>
          <w:szCs w:val="28"/>
          <w:lang w:val="en-US" w:eastAsia="zh-CN"/>
        </w:rPr>
        <w:t>的具体试验场地根据报名情况确定，所供</w:t>
      </w:r>
      <w:r>
        <w:rPr>
          <w:rFonts w:hint="eastAsia" w:ascii="仿宋_GB2312" w:hAnsi="仿宋_GB2312" w:eastAsia="仿宋_GB2312" w:cs="仿宋_GB2312"/>
          <w:sz w:val="28"/>
          <w:szCs w:val="28"/>
        </w:rPr>
        <w:t>VOCs在线监测设备及配套设备信息如下</w:t>
      </w:r>
      <w:r>
        <w:rPr>
          <w:rFonts w:hint="eastAsia" w:ascii="仿宋_GB2312" w:hAnsi="仿宋_GB2312" w:eastAsia="仿宋_GB2312" w:cs="仿宋_GB2312"/>
          <w:sz w:val="28"/>
          <w:szCs w:val="28"/>
          <w:lang w:eastAsia="zh-CN"/>
        </w:rPr>
        <w:t>：</w:t>
      </w:r>
    </w:p>
    <w:p w14:paraId="1ED0DAB1">
      <w:pPr>
        <w:adjustRightInd w:val="0"/>
        <w:spacing w:line="360" w:lineRule="auto"/>
        <w:ind w:firstLine="6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VOCs在线监测系统信息</w:t>
      </w:r>
    </w:p>
    <w:tbl>
      <w:tblPr>
        <w:tblStyle w:val="7"/>
        <w:tblW w:w="8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279"/>
        <w:gridCol w:w="4063"/>
      </w:tblGrid>
      <w:tr w14:paraId="6FE7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vAlign w:val="center"/>
          </w:tcPr>
          <w:p w14:paraId="5FA2685E">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342" w:type="dxa"/>
            <w:gridSpan w:val="2"/>
            <w:vAlign w:val="center"/>
          </w:tcPr>
          <w:p w14:paraId="52EC8C7A">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品牌型号</w:t>
            </w:r>
          </w:p>
        </w:tc>
      </w:tr>
      <w:tr w14:paraId="5C06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vAlign w:val="center"/>
          </w:tcPr>
          <w:p w14:paraId="2AF47493">
            <w:pPr>
              <w:adjustRightInd w:val="0"/>
              <w:spacing w:line="360" w:lineRule="auto"/>
              <w:jc w:val="center"/>
              <w:rPr>
                <w:rFonts w:hint="eastAsia" w:ascii="仿宋_GB2312" w:hAnsi="仿宋_GB2312" w:eastAsia="仿宋_GB2312" w:cs="仿宋_GB2312"/>
                <w:sz w:val="24"/>
                <w:szCs w:val="24"/>
              </w:rPr>
            </w:pPr>
          </w:p>
        </w:tc>
        <w:tc>
          <w:tcPr>
            <w:tcW w:w="3279" w:type="dxa"/>
            <w:vAlign w:val="center"/>
          </w:tcPr>
          <w:p w14:paraId="6B889922">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预浓缩</w:t>
            </w:r>
          </w:p>
        </w:tc>
        <w:tc>
          <w:tcPr>
            <w:tcW w:w="4063" w:type="dxa"/>
            <w:vAlign w:val="center"/>
          </w:tcPr>
          <w:p w14:paraId="4DD7D5D5">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GC-FID/MS</w:t>
            </w:r>
          </w:p>
        </w:tc>
      </w:tr>
      <w:tr w14:paraId="301A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19F03408">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279" w:type="dxa"/>
            <w:vAlign w:val="center"/>
          </w:tcPr>
          <w:p w14:paraId="5609D580">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鹏宇昌亚/ZF-PKU-VOC1007</w:t>
            </w:r>
          </w:p>
        </w:tc>
        <w:tc>
          <w:tcPr>
            <w:tcW w:w="4063" w:type="dxa"/>
            <w:vAlign w:val="center"/>
          </w:tcPr>
          <w:p w14:paraId="30E0C0A5">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赛默飞/trace1600 ISQ7610</w:t>
            </w:r>
          </w:p>
        </w:tc>
      </w:tr>
      <w:tr w14:paraId="781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1B61A98B">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279" w:type="dxa"/>
            <w:vAlign w:val="center"/>
          </w:tcPr>
          <w:p w14:paraId="6F52B727">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天虹/TH-300B</w:t>
            </w:r>
          </w:p>
        </w:tc>
        <w:tc>
          <w:tcPr>
            <w:tcW w:w="4063" w:type="dxa"/>
            <w:vAlign w:val="center"/>
          </w:tcPr>
          <w:p w14:paraId="5C02FEB4">
            <w:pPr>
              <w:adjustRightInd w:val="0"/>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安捷伦/8860-5977C</w:t>
            </w:r>
          </w:p>
        </w:tc>
      </w:tr>
    </w:tbl>
    <w:p w14:paraId="67EF5A1A">
      <w:pPr>
        <w:adjustRightInd w:val="0"/>
        <w:spacing w:line="360" w:lineRule="auto"/>
        <w:ind w:firstLine="6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val="en-US" w:eastAsia="zh-CN"/>
        </w:rPr>
        <w:t>2、</w:t>
      </w:r>
      <w:r>
        <w:rPr>
          <w:rFonts w:hint="eastAsia" w:ascii="仿宋_GB2312" w:hAnsi="仿宋_GB2312" w:eastAsia="仿宋_GB2312" w:cs="仿宋_GB2312"/>
          <w:b/>
          <w:kern w:val="0"/>
          <w:sz w:val="28"/>
          <w:szCs w:val="28"/>
        </w:rPr>
        <w:t>比对测试指标</w:t>
      </w:r>
    </w:p>
    <w:p w14:paraId="79A0CA00">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主要考察</w:t>
      </w:r>
      <w:r>
        <w:rPr>
          <w:rFonts w:hint="eastAsia" w:ascii="仿宋_GB2312" w:hAnsi="仿宋_GB2312" w:eastAsia="仿宋_GB2312" w:cs="仿宋_GB2312"/>
          <w:b w:val="0"/>
          <w:bCs w:val="0"/>
          <w:sz w:val="28"/>
          <w:szCs w:val="28"/>
          <w:lang w:val="en-US" w:eastAsia="zh-CN"/>
        </w:rPr>
        <w:t>VOCs</w:t>
      </w:r>
      <w:r>
        <w:rPr>
          <w:rFonts w:hint="eastAsia" w:ascii="仿宋_GB2312" w:hAnsi="仿宋_GB2312" w:eastAsia="仿宋_GB2312" w:cs="仿宋_GB2312"/>
          <w:b w:val="0"/>
          <w:bCs w:val="0"/>
          <w:sz w:val="28"/>
          <w:szCs w:val="28"/>
        </w:rPr>
        <w:t>图谱自动重积分</w:t>
      </w:r>
      <w:r>
        <w:rPr>
          <w:rFonts w:hint="eastAsia" w:ascii="仿宋_GB2312" w:hAnsi="仿宋_GB2312" w:eastAsia="仿宋_GB2312" w:cs="仿宋_GB2312"/>
          <w:b w:val="0"/>
          <w:bCs w:val="0"/>
          <w:sz w:val="28"/>
          <w:szCs w:val="28"/>
          <w:lang w:val="en-US" w:eastAsia="zh-CN"/>
        </w:rPr>
        <w:t>技术</w:t>
      </w:r>
      <w:r>
        <w:rPr>
          <w:rFonts w:hint="eastAsia" w:ascii="仿宋_GB2312" w:hAnsi="仿宋_GB2312" w:eastAsia="仿宋_GB2312" w:cs="仿宋_GB2312"/>
          <w:b w:val="0"/>
          <w:bCs w:val="0"/>
          <w:sz w:val="28"/>
          <w:szCs w:val="28"/>
        </w:rPr>
        <w:t>指标</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测试内容主要为：</w:t>
      </w:r>
    </w:p>
    <w:p w14:paraId="0B7FFA77">
      <w:pPr>
        <w:spacing w:line="360" w:lineRule="auto"/>
        <w:ind w:firstLine="560" w:firstLineChars="200"/>
        <w:rPr>
          <w:rFonts w:hint="eastAsia" w:ascii="仿宋" w:hAnsi="仿宋" w:eastAsia="仿宋"/>
          <w:sz w:val="28"/>
          <w:szCs w:val="28"/>
        </w:rPr>
      </w:pPr>
      <w:r>
        <w:rPr>
          <w:rFonts w:hint="eastAsia" w:ascii="仿宋_GB2312" w:hAnsi="仿宋_GB2312" w:eastAsia="仿宋_GB2312" w:cs="仿宋_GB2312"/>
          <w:sz w:val="28"/>
          <w:szCs w:val="28"/>
        </w:rPr>
        <w:t>各智能化设备对接VOCs在线监测仪实时产出图谱，输出自动积分结果，与第三方公司提供的人工积分结果进行比较，考察各智能化技术重积分结果的准确性</w:t>
      </w:r>
      <w:r>
        <w:rPr>
          <w:rFonts w:hint="eastAsia" w:ascii="仿宋_GB2312" w:hAnsi="仿宋_GB2312" w:eastAsia="仿宋_GB2312" w:cs="仿宋_GB2312"/>
          <w:sz w:val="28"/>
          <w:szCs w:val="28"/>
          <w:lang w:val="en-US" w:eastAsia="zh-CN"/>
        </w:rPr>
        <w:t>和时效性等</w:t>
      </w:r>
      <w:r>
        <w:rPr>
          <w:rFonts w:hint="eastAsia" w:ascii="仿宋_GB2312" w:hAnsi="仿宋_GB2312" w:eastAsia="仿宋_GB2312" w:cs="仿宋_GB2312"/>
          <w:sz w:val="28"/>
          <w:szCs w:val="28"/>
        </w:rPr>
        <w:t>。</w:t>
      </w:r>
    </w:p>
    <w:p w14:paraId="3BA05491">
      <w:pPr>
        <w:numPr>
          <w:ilvl w:val="0"/>
          <w:numId w:val="0"/>
        </w:numPr>
        <w:ind w:leftChars="200"/>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四、职责分工</w:t>
      </w:r>
    </w:p>
    <w:p w14:paraId="05EB9C72">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本次比对测试由</w:t>
      </w:r>
      <w:r>
        <w:rPr>
          <w:rFonts w:hint="eastAsia" w:ascii="仿宋_GB2312" w:hAnsi="仿宋_GB2312" w:eastAsia="仿宋_GB2312" w:cs="仿宋_GB2312"/>
          <w:sz w:val="28"/>
          <w:szCs w:val="28"/>
          <w:lang w:val="en-US" w:eastAsia="zh-CN"/>
        </w:rPr>
        <w:t>重点实验室</w:t>
      </w:r>
      <w:r>
        <w:rPr>
          <w:rFonts w:hint="eastAsia" w:ascii="仿宋_GB2312" w:hAnsi="仿宋_GB2312" w:eastAsia="仿宋_GB2312" w:cs="仿宋_GB2312"/>
          <w:sz w:val="28"/>
          <w:szCs w:val="28"/>
        </w:rPr>
        <w:t>牵头组织，</w:t>
      </w:r>
      <w:r>
        <w:rPr>
          <w:rFonts w:hint="eastAsia" w:ascii="仿宋_GB2312" w:hAnsi="仿宋_GB2312" w:eastAsia="仿宋_GB2312" w:cs="仿宋_GB2312"/>
          <w:sz w:val="28"/>
          <w:szCs w:val="28"/>
          <w:lang w:val="en-US" w:eastAsia="zh-CN"/>
        </w:rPr>
        <w:t>参与比对单位</w:t>
      </w:r>
      <w:r>
        <w:rPr>
          <w:rFonts w:hint="eastAsia" w:ascii="仿宋_GB2312" w:hAnsi="仿宋_GB2312" w:eastAsia="仿宋_GB2312" w:cs="仿宋_GB2312"/>
          <w:sz w:val="28"/>
          <w:szCs w:val="28"/>
        </w:rPr>
        <w:t>与第三方运维公司共同参加，具体分工如下：</w:t>
      </w:r>
    </w:p>
    <w:p w14:paraId="0477D4DD">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重点实验室</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组织具体实施</w:t>
      </w:r>
      <w:r>
        <w:rPr>
          <w:rFonts w:hint="eastAsia" w:ascii="仿宋_GB2312" w:hAnsi="仿宋_GB2312" w:eastAsia="仿宋_GB2312" w:cs="仿宋_GB2312"/>
          <w:sz w:val="28"/>
          <w:szCs w:val="28"/>
        </w:rPr>
        <w:t>方案的制定、整体实施和结果审核，以及在线监测设备运行、场地和用电等</w:t>
      </w:r>
      <w:r>
        <w:rPr>
          <w:rFonts w:hint="eastAsia" w:ascii="仿宋_GB2312" w:hAnsi="仿宋_GB2312" w:eastAsia="仿宋_GB2312" w:cs="仿宋_GB2312"/>
          <w:sz w:val="28"/>
          <w:szCs w:val="28"/>
          <w:lang w:val="en-US" w:eastAsia="zh-CN"/>
        </w:rPr>
        <w:t>保障</w:t>
      </w:r>
      <w:r>
        <w:rPr>
          <w:rFonts w:hint="eastAsia" w:ascii="仿宋_GB2312" w:hAnsi="仿宋_GB2312" w:eastAsia="仿宋_GB2312" w:cs="仿宋_GB2312"/>
          <w:sz w:val="28"/>
          <w:szCs w:val="28"/>
        </w:rPr>
        <w:t>。</w:t>
      </w:r>
    </w:p>
    <w:p w14:paraId="1DB8EF33">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参与比对单位</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负责智能化设备安装与维护，同时定期向主持方提供结果与技术改进情况。</w:t>
      </w:r>
    </w:p>
    <w:p w14:paraId="42741EB1">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第三方</w:t>
      </w:r>
      <w:r>
        <w:rPr>
          <w:rFonts w:hint="eastAsia" w:ascii="仿宋_GB2312" w:hAnsi="仿宋_GB2312" w:eastAsia="仿宋_GB2312" w:cs="仿宋_GB2312"/>
          <w:b/>
          <w:bCs/>
          <w:sz w:val="28"/>
          <w:szCs w:val="28"/>
          <w:lang w:val="en-US" w:eastAsia="zh-CN"/>
        </w:rPr>
        <w:t>运维</w:t>
      </w:r>
      <w:r>
        <w:rPr>
          <w:rFonts w:hint="eastAsia" w:ascii="仿宋_GB2312" w:hAnsi="仿宋_GB2312" w:eastAsia="仿宋_GB2312" w:cs="仿宋_GB2312"/>
          <w:b/>
          <w:bCs/>
          <w:sz w:val="28"/>
          <w:szCs w:val="28"/>
        </w:rPr>
        <w:t>公司：</w:t>
      </w:r>
      <w:r>
        <w:rPr>
          <w:rFonts w:hint="eastAsia" w:ascii="仿宋_GB2312" w:hAnsi="仿宋_GB2312" w:eastAsia="仿宋_GB2312" w:cs="仿宋_GB2312"/>
          <w:sz w:val="28"/>
          <w:szCs w:val="28"/>
        </w:rPr>
        <w:t>负责VOC在线监测系统等设备的</w:t>
      </w:r>
      <w:r>
        <w:rPr>
          <w:rFonts w:hint="eastAsia" w:ascii="仿宋_GB2312" w:hAnsi="仿宋_GB2312" w:eastAsia="仿宋_GB2312" w:cs="仿宋_GB2312"/>
          <w:sz w:val="28"/>
          <w:szCs w:val="28"/>
          <w:lang w:val="en-US" w:eastAsia="zh-CN"/>
        </w:rPr>
        <w:t>日常运维</w:t>
      </w:r>
      <w:r>
        <w:rPr>
          <w:rFonts w:hint="eastAsia" w:ascii="仿宋_GB2312" w:hAnsi="仿宋_GB2312" w:eastAsia="仿宋_GB2312" w:cs="仿宋_GB2312"/>
          <w:sz w:val="28"/>
          <w:szCs w:val="28"/>
        </w:rPr>
        <w:t>，提供审核后数据、各类运维记录、故障排查记录等。</w:t>
      </w:r>
    </w:p>
    <w:p w14:paraId="47E6CBE3">
      <w:pPr>
        <w:numPr>
          <w:ilvl w:val="0"/>
          <w:numId w:val="0"/>
        </w:numPr>
        <w:ind w:leftChars="200"/>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五、时间安排</w:t>
      </w:r>
    </w:p>
    <w:p w14:paraId="025D9200">
      <w:pPr>
        <w:numPr>
          <w:ilvl w:val="0"/>
          <w:numId w:val="0"/>
        </w:numPr>
        <w:ind w:firstLine="560" w:firstLineChars="200"/>
      </w:pPr>
      <w:r>
        <w:rPr>
          <w:rFonts w:hint="eastAsia" w:ascii="仿宋_GB2312" w:hAnsi="仿宋_GB2312" w:eastAsia="仿宋_GB2312" w:cs="仿宋_GB2312"/>
          <w:sz w:val="28"/>
          <w:szCs w:val="32"/>
          <w:lang w:val="en-US" w:eastAsia="zh-CN"/>
        </w:rPr>
        <w:t>比对测试</w:t>
      </w:r>
      <w:r>
        <w:rPr>
          <w:rFonts w:hint="eastAsia" w:ascii="仿宋_GB2312" w:hAnsi="仿宋_GB2312" w:eastAsia="仿宋_GB2312" w:cs="仿宋_GB2312"/>
          <w:sz w:val="28"/>
          <w:szCs w:val="32"/>
        </w:rPr>
        <w:t>时间计划为2025年</w:t>
      </w:r>
      <w:r>
        <w:rPr>
          <w:rFonts w:hint="eastAsia" w:ascii="仿宋_GB2312" w:hAnsi="仿宋_GB2312" w:eastAsia="仿宋_GB2312" w:cs="仿宋_GB2312"/>
          <w:sz w:val="28"/>
          <w:szCs w:val="32"/>
          <w:lang w:val="en-US" w:eastAsia="zh-CN"/>
        </w:rPr>
        <w:t>5</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lang w:val="en-US" w:eastAsia="zh-CN"/>
        </w:rPr>
        <w:t>10</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lang w:val="en-US" w:eastAsia="zh-CN"/>
        </w:rPr>
        <w:t>其中</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en-US" w:eastAsia="zh-CN"/>
        </w:rPr>
        <w:t>-6</w:t>
      </w:r>
      <w:r>
        <w:rPr>
          <w:rFonts w:hint="eastAsia" w:ascii="仿宋_GB2312" w:hAnsi="仿宋_GB2312" w:eastAsia="仿宋_GB2312" w:cs="仿宋_GB2312"/>
          <w:sz w:val="28"/>
          <w:szCs w:val="32"/>
        </w:rPr>
        <w:t>月为</w:t>
      </w:r>
      <w:r>
        <w:rPr>
          <w:rFonts w:hint="eastAsia" w:ascii="仿宋_GB2312" w:hAnsi="仿宋_GB2312" w:eastAsia="仿宋_GB2312" w:cs="仿宋_GB2312"/>
          <w:sz w:val="28"/>
          <w:szCs w:val="32"/>
          <w:lang w:val="en-US" w:eastAsia="zh-CN"/>
        </w:rPr>
        <w:t>征集意向、具体实施方案制定和设备</w:t>
      </w:r>
      <w:r>
        <w:rPr>
          <w:rFonts w:hint="eastAsia" w:ascii="仿宋_GB2312" w:hAnsi="仿宋_GB2312" w:eastAsia="仿宋_GB2312" w:cs="仿宋_GB2312"/>
          <w:sz w:val="28"/>
          <w:szCs w:val="32"/>
        </w:rPr>
        <w:t>调试准备阶段，</w:t>
      </w:r>
      <w:r>
        <w:rPr>
          <w:rFonts w:hint="eastAsia" w:ascii="仿宋_GB2312" w:hAnsi="仿宋_GB2312" w:eastAsia="仿宋_GB2312" w:cs="仿宋_GB2312"/>
          <w:sz w:val="28"/>
          <w:szCs w:val="32"/>
          <w:lang w:val="en-US" w:eastAsia="zh-CN"/>
        </w:rPr>
        <w:t>7</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val="en-US" w:eastAsia="zh-CN"/>
        </w:rPr>
        <w:t>9</w:t>
      </w:r>
      <w:r>
        <w:rPr>
          <w:rFonts w:hint="eastAsia" w:ascii="仿宋_GB2312" w:hAnsi="仿宋_GB2312" w:eastAsia="仿宋_GB2312" w:cs="仿宋_GB2312"/>
          <w:sz w:val="28"/>
          <w:szCs w:val="32"/>
        </w:rPr>
        <w:t>月为正式比对阶段</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10月为结果分析和评审阶段</w:t>
      </w:r>
      <w:r>
        <w:rPr>
          <w:rFonts w:hint="eastAsia" w:ascii="仿宋_GB2312" w:hAnsi="仿宋_GB2312" w:eastAsia="仿宋_GB2312" w:cs="仿宋_GB2312"/>
          <w:sz w:val="28"/>
          <w:szCs w:val="32"/>
        </w:rPr>
        <w:t>。</w:t>
      </w:r>
      <w:r>
        <w:rPr>
          <w:rFonts w:hint="eastAsia" w:ascii="仿宋_GB2312" w:hAnsi="仿宋_GB2312" w:eastAsia="仿宋_GB2312" w:cs="仿宋_GB2312"/>
          <w:color w:val="000000"/>
          <w:kern w:val="0"/>
          <w:sz w:val="28"/>
          <w:szCs w:val="28"/>
          <w:lang w:val="en-US" w:eastAsia="zh-CN" w:bidi="ar"/>
        </w:rPr>
        <w:t>具体时间根据重点实验室实际需求和征集情况统一安排和调整。</w:t>
      </w:r>
      <w:bookmarkStart w:id="1" w:name="_GoBack"/>
      <w:bookmarkEnd w:id="1"/>
    </w:p>
    <w:p w14:paraId="44FE38EF">
      <w:pPr>
        <w:numPr>
          <w:ilvl w:val="0"/>
          <w:numId w:val="0"/>
        </w:numPr>
        <w:ind w:leftChars="200"/>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六、结果评估</w:t>
      </w:r>
    </w:p>
    <w:p w14:paraId="0646A6AA">
      <w:pPr>
        <w:spacing w:line="360" w:lineRule="auto"/>
        <w:ind w:firstLine="560" w:firstLineChars="200"/>
        <w:rPr>
          <w:rFonts w:hint="eastAsia" w:ascii="仿宋_GB2312" w:eastAsia="仿宋_GB2312"/>
          <w:sz w:val="28"/>
          <w:szCs w:val="32"/>
        </w:rPr>
      </w:pPr>
      <w:r>
        <w:rPr>
          <w:rFonts w:hint="eastAsia" w:ascii="仿宋_GB2312" w:eastAsia="仿宋_GB2312"/>
          <w:sz w:val="28"/>
          <w:szCs w:val="32"/>
          <w:lang w:val="en-US" w:eastAsia="zh-CN"/>
        </w:rPr>
        <w:t>比对测试</w:t>
      </w:r>
      <w:r>
        <w:rPr>
          <w:rFonts w:hint="default" w:ascii="仿宋_GB2312" w:eastAsia="仿宋_GB2312"/>
          <w:sz w:val="28"/>
          <w:szCs w:val="32"/>
          <w:lang w:val="en-US" w:eastAsia="zh-CN"/>
        </w:rPr>
        <w:t>结束后，将组织重点实验室专家委员以及其他相关专家组成评审组</w:t>
      </w:r>
      <w:r>
        <w:rPr>
          <w:rFonts w:hint="eastAsia" w:ascii="仿宋_GB2312" w:eastAsia="仿宋_GB2312"/>
          <w:sz w:val="28"/>
          <w:szCs w:val="32"/>
          <w:lang w:val="en-US" w:eastAsia="zh-CN"/>
        </w:rPr>
        <w:t>，</w:t>
      </w:r>
      <w:r>
        <w:rPr>
          <w:rFonts w:hint="default" w:ascii="仿宋_GB2312" w:eastAsia="仿宋_GB2312"/>
          <w:sz w:val="28"/>
          <w:szCs w:val="32"/>
          <w:lang w:val="en-US" w:eastAsia="zh-CN"/>
        </w:rPr>
        <w:t>对</w:t>
      </w:r>
      <w:r>
        <w:rPr>
          <w:rFonts w:hint="eastAsia" w:ascii="仿宋_GB2312" w:eastAsia="仿宋_GB2312"/>
          <w:sz w:val="28"/>
          <w:szCs w:val="32"/>
          <w:lang w:val="en-US" w:eastAsia="zh-CN"/>
        </w:rPr>
        <w:t>相关智能技术</w:t>
      </w:r>
      <w:r>
        <w:rPr>
          <w:rFonts w:hint="default" w:ascii="仿宋_GB2312" w:eastAsia="仿宋_GB2312"/>
          <w:sz w:val="28"/>
          <w:szCs w:val="32"/>
          <w:lang w:val="en-US" w:eastAsia="zh-CN"/>
        </w:rPr>
        <w:t>的应用效果、技术可行性等方面进行评审</w:t>
      </w:r>
      <w:r>
        <w:rPr>
          <w:rFonts w:hint="eastAsia" w:ascii="仿宋_GB2312" w:eastAsia="仿宋_GB2312"/>
          <w:sz w:val="28"/>
          <w:szCs w:val="32"/>
          <w:lang w:val="en-US" w:eastAsia="zh-CN"/>
        </w:rPr>
        <w:t>；比对</w:t>
      </w:r>
      <w:r>
        <w:rPr>
          <w:rFonts w:hint="default" w:ascii="仿宋_GB2312" w:eastAsia="仿宋_GB2312"/>
          <w:sz w:val="28"/>
          <w:szCs w:val="32"/>
          <w:lang w:val="en-US" w:eastAsia="zh-CN"/>
        </w:rPr>
        <w:t>结果</w:t>
      </w:r>
      <w:r>
        <w:rPr>
          <w:rFonts w:hint="eastAsia" w:ascii="仿宋_GB2312" w:eastAsia="仿宋_GB2312"/>
          <w:sz w:val="28"/>
          <w:szCs w:val="32"/>
          <w:lang w:val="en-US" w:eastAsia="zh-CN"/>
        </w:rPr>
        <w:t>、</w:t>
      </w:r>
      <w:r>
        <w:rPr>
          <w:rFonts w:hint="default" w:ascii="仿宋_GB2312" w:eastAsia="仿宋_GB2312"/>
          <w:sz w:val="28"/>
          <w:szCs w:val="32"/>
          <w:lang w:val="en-US" w:eastAsia="zh-CN"/>
        </w:rPr>
        <w:t>研究成果</w:t>
      </w:r>
      <w:r>
        <w:rPr>
          <w:rFonts w:hint="eastAsia" w:ascii="仿宋_GB2312" w:eastAsia="仿宋_GB2312"/>
          <w:sz w:val="28"/>
          <w:szCs w:val="32"/>
          <w:lang w:val="en-US" w:eastAsia="zh-CN"/>
        </w:rPr>
        <w:t>分别</w:t>
      </w:r>
      <w:r>
        <w:rPr>
          <w:rFonts w:hint="default" w:ascii="仿宋_GB2312" w:eastAsia="仿宋_GB2312"/>
          <w:sz w:val="28"/>
          <w:szCs w:val="32"/>
          <w:lang w:val="en-US" w:eastAsia="zh-CN"/>
        </w:rPr>
        <w:t>与</w:t>
      </w:r>
      <w:r>
        <w:rPr>
          <w:rFonts w:hint="eastAsia" w:ascii="仿宋_GB2312" w:eastAsia="仿宋_GB2312"/>
          <w:sz w:val="28"/>
          <w:szCs w:val="32"/>
          <w:lang w:val="en-US" w:eastAsia="zh-CN"/>
        </w:rPr>
        <w:t>各比对</w:t>
      </w:r>
      <w:r>
        <w:rPr>
          <w:rFonts w:hint="default" w:ascii="仿宋_GB2312" w:eastAsia="仿宋_GB2312"/>
          <w:sz w:val="28"/>
          <w:szCs w:val="32"/>
          <w:lang w:val="en-US" w:eastAsia="zh-CN"/>
        </w:rPr>
        <w:t>单位共享。</w:t>
      </w:r>
    </w:p>
    <w:p w14:paraId="24763556">
      <w:pPr>
        <w:numPr>
          <w:ilvl w:val="0"/>
          <w:numId w:val="0"/>
        </w:numPr>
        <w:ind w:leftChars="200"/>
        <w:rPr>
          <w:rFonts w:hint="eastAsia" w:ascii="黑体" w:hAnsi="黑体" w:eastAsia="黑体"/>
          <w:sz w:val="28"/>
          <w:szCs w:val="28"/>
          <w:lang w:val="en-US" w:eastAsia="zh-CN"/>
        </w:rPr>
      </w:pPr>
    </w:p>
    <w:bookmarkEnd w:id="0"/>
    <w:p w14:paraId="39422D56">
      <w:pPr>
        <w:spacing w:line="360" w:lineRule="auto"/>
      </w:pPr>
    </w:p>
    <w:p w14:paraId="609BF5EA">
      <w:pPr>
        <w:spacing w:line="360" w:lineRule="auto"/>
        <w:jc w:val="center"/>
        <w:rPr>
          <w:rFonts w:hint="eastAsia" w:ascii="宋体" w:hAnsi="宋体" w:eastAsia="宋体" w:cs="宋体"/>
          <w:b/>
          <w:bCs/>
          <w:sz w:val="32"/>
          <w:szCs w:val="4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7D4C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5FE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05FE7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C4CEC"/>
    <w:multiLevelType w:val="singleLevel"/>
    <w:tmpl w:val="9DEC4CEC"/>
    <w:lvl w:ilvl="0" w:tentative="0">
      <w:start w:val="1"/>
      <w:numFmt w:val="decimal"/>
      <w:suff w:val="nothing"/>
      <w:lvlText w:val="%1、"/>
      <w:lvlJc w:val="left"/>
    </w:lvl>
  </w:abstractNum>
  <w:abstractNum w:abstractNumId="1">
    <w:nsid w:val="5885BB92"/>
    <w:multiLevelType w:val="singleLevel"/>
    <w:tmpl w:val="5885BB9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8219E8"/>
    <w:rsid w:val="00023B09"/>
    <w:rsid w:val="00064163"/>
    <w:rsid w:val="00984C63"/>
    <w:rsid w:val="00A370E9"/>
    <w:rsid w:val="00B60984"/>
    <w:rsid w:val="00F15B8A"/>
    <w:rsid w:val="016320EC"/>
    <w:rsid w:val="01DE3888"/>
    <w:rsid w:val="023C403F"/>
    <w:rsid w:val="028D6734"/>
    <w:rsid w:val="02A97337"/>
    <w:rsid w:val="03030CD0"/>
    <w:rsid w:val="035937A7"/>
    <w:rsid w:val="03691062"/>
    <w:rsid w:val="038E6A76"/>
    <w:rsid w:val="040D1192"/>
    <w:rsid w:val="041A00B4"/>
    <w:rsid w:val="044165CF"/>
    <w:rsid w:val="044F0706"/>
    <w:rsid w:val="047B3205"/>
    <w:rsid w:val="04B825BC"/>
    <w:rsid w:val="04D10E5E"/>
    <w:rsid w:val="04EE0073"/>
    <w:rsid w:val="0510315A"/>
    <w:rsid w:val="05FF6A84"/>
    <w:rsid w:val="067A5F0E"/>
    <w:rsid w:val="06E12BAE"/>
    <w:rsid w:val="07131EBF"/>
    <w:rsid w:val="072B0FB7"/>
    <w:rsid w:val="073F2CB4"/>
    <w:rsid w:val="07D653C6"/>
    <w:rsid w:val="07F338E3"/>
    <w:rsid w:val="086E065E"/>
    <w:rsid w:val="08BC0A60"/>
    <w:rsid w:val="08F86C50"/>
    <w:rsid w:val="09151F1E"/>
    <w:rsid w:val="094B5940"/>
    <w:rsid w:val="09BF5E21"/>
    <w:rsid w:val="0A6C2012"/>
    <w:rsid w:val="0A9357F1"/>
    <w:rsid w:val="0B420FC5"/>
    <w:rsid w:val="0B5D195B"/>
    <w:rsid w:val="0B845139"/>
    <w:rsid w:val="0BB53A9B"/>
    <w:rsid w:val="0BD55995"/>
    <w:rsid w:val="0C2B4CDE"/>
    <w:rsid w:val="0CB679B8"/>
    <w:rsid w:val="0CEA05CC"/>
    <w:rsid w:val="0D662E08"/>
    <w:rsid w:val="0E1A1D85"/>
    <w:rsid w:val="0E71575C"/>
    <w:rsid w:val="0E8219E8"/>
    <w:rsid w:val="0ECB666C"/>
    <w:rsid w:val="0F210F2F"/>
    <w:rsid w:val="0F274759"/>
    <w:rsid w:val="0F814A37"/>
    <w:rsid w:val="10051A3A"/>
    <w:rsid w:val="10215D6D"/>
    <w:rsid w:val="10470EA5"/>
    <w:rsid w:val="10937656"/>
    <w:rsid w:val="10CD30DE"/>
    <w:rsid w:val="10FA2DD1"/>
    <w:rsid w:val="115B1BF1"/>
    <w:rsid w:val="116B779F"/>
    <w:rsid w:val="116F562B"/>
    <w:rsid w:val="11F72B09"/>
    <w:rsid w:val="12064AFA"/>
    <w:rsid w:val="126805E3"/>
    <w:rsid w:val="12B96B30"/>
    <w:rsid w:val="13095E79"/>
    <w:rsid w:val="13D53DAE"/>
    <w:rsid w:val="13ED0119"/>
    <w:rsid w:val="143E11CC"/>
    <w:rsid w:val="146855F8"/>
    <w:rsid w:val="14A5684C"/>
    <w:rsid w:val="14CD5DA3"/>
    <w:rsid w:val="14D33064"/>
    <w:rsid w:val="150D68C3"/>
    <w:rsid w:val="15AC32BE"/>
    <w:rsid w:val="165322D8"/>
    <w:rsid w:val="16F82A21"/>
    <w:rsid w:val="1732013F"/>
    <w:rsid w:val="173215F1"/>
    <w:rsid w:val="179D1A5D"/>
    <w:rsid w:val="181066D2"/>
    <w:rsid w:val="182C479B"/>
    <w:rsid w:val="18696567"/>
    <w:rsid w:val="188059B4"/>
    <w:rsid w:val="18860743"/>
    <w:rsid w:val="18DD597D"/>
    <w:rsid w:val="18F03E0E"/>
    <w:rsid w:val="18F75F71"/>
    <w:rsid w:val="192E01A4"/>
    <w:rsid w:val="19362D37"/>
    <w:rsid w:val="194B7296"/>
    <w:rsid w:val="19777A51"/>
    <w:rsid w:val="19D35C0A"/>
    <w:rsid w:val="1A070EDB"/>
    <w:rsid w:val="1A265F79"/>
    <w:rsid w:val="1A613B56"/>
    <w:rsid w:val="1A6A1B16"/>
    <w:rsid w:val="1B416BA3"/>
    <w:rsid w:val="1B487F31"/>
    <w:rsid w:val="1B59213E"/>
    <w:rsid w:val="1B767316"/>
    <w:rsid w:val="1C780D06"/>
    <w:rsid w:val="1C7A7A72"/>
    <w:rsid w:val="1D1D5B26"/>
    <w:rsid w:val="1D4F6E3B"/>
    <w:rsid w:val="1D807E56"/>
    <w:rsid w:val="1DA41C5A"/>
    <w:rsid w:val="1E212684"/>
    <w:rsid w:val="1E37694B"/>
    <w:rsid w:val="1E4077CA"/>
    <w:rsid w:val="1F07086C"/>
    <w:rsid w:val="1F4251A5"/>
    <w:rsid w:val="200B777F"/>
    <w:rsid w:val="216607B4"/>
    <w:rsid w:val="217A4BBD"/>
    <w:rsid w:val="218D68C1"/>
    <w:rsid w:val="21E64000"/>
    <w:rsid w:val="21FC6C72"/>
    <w:rsid w:val="22545B9D"/>
    <w:rsid w:val="229F0A7E"/>
    <w:rsid w:val="22DF2808"/>
    <w:rsid w:val="24832AD5"/>
    <w:rsid w:val="2561056D"/>
    <w:rsid w:val="258673AF"/>
    <w:rsid w:val="25CF7214"/>
    <w:rsid w:val="265579A6"/>
    <w:rsid w:val="265B3DF5"/>
    <w:rsid w:val="26CC1D3D"/>
    <w:rsid w:val="27516F40"/>
    <w:rsid w:val="281C69CE"/>
    <w:rsid w:val="28B60BD0"/>
    <w:rsid w:val="2900009D"/>
    <w:rsid w:val="297E4A9C"/>
    <w:rsid w:val="29AD788C"/>
    <w:rsid w:val="29E96D83"/>
    <w:rsid w:val="2A094A83"/>
    <w:rsid w:val="2A3A3BA1"/>
    <w:rsid w:val="2B675630"/>
    <w:rsid w:val="2B7E6526"/>
    <w:rsid w:val="2C0E3AAE"/>
    <w:rsid w:val="2C471F1A"/>
    <w:rsid w:val="2C4A407F"/>
    <w:rsid w:val="2CA31314"/>
    <w:rsid w:val="2CDF20B5"/>
    <w:rsid w:val="2D9A55C7"/>
    <w:rsid w:val="2DB01AB8"/>
    <w:rsid w:val="2DDF2977"/>
    <w:rsid w:val="2EA74B17"/>
    <w:rsid w:val="2EC368C6"/>
    <w:rsid w:val="2F2577CF"/>
    <w:rsid w:val="2F4C7D00"/>
    <w:rsid w:val="2F566C69"/>
    <w:rsid w:val="2FB92D54"/>
    <w:rsid w:val="300246FB"/>
    <w:rsid w:val="30564A47"/>
    <w:rsid w:val="306058C5"/>
    <w:rsid w:val="306E7FE2"/>
    <w:rsid w:val="31682C84"/>
    <w:rsid w:val="316D029A"/>
    <w:rsid w:val="31912202"/>
    <w:rsid w:val="326369CD"/>
    <w:rsid w:val="32B1065A"/>
    <w:rsid w:val="3361798A"/>
    <w:rsid w:val="343E3CB7"/>
    <w:rsid w:val="344A6670"/>
    <w:rsid w:val="344B6958"/>
    <w:rsid w:val="34E645EB"/>
    <w:rsid w:val="34F11A23"/>
    <w:rsid w:val="351D3D85"/>
    <w:rsid w:val="354E03E2"/>
    <w:rsid w:val="370621EB"/>
    <w:rsid w:val="37815A39"/>
    <w:rsid w:val="37BC1633"/>
    <w:rsid w:val="37D4103A"/>
    <w:rsid w:val="383438BF"/>
    <w:rsid w:val="38C76FD4"/>
    <w:rsid w:val="394E6C03"/>
    <w:rsid w:val="398D4E07"/>
    <w:rsid w:val="3A4F7B58"/>
    <w:rsid w:val="3AD317E1"/>
    <w:rsid w:val="3B5C1CBD"/>
    <w:rsid w:val="3BD056AD"/>
    <w:rsid w:val="3BE367B2"/>
    <w:rsid w:val="3C406CD7"/>
    <w:rsid w:val="3CB73E94"/>
    <w:rsid w:val="3D5D328D"/>
    <w:rsid w:val="3D7E5789"/>
    <w:rsid w:val="3DBE4137"/>
    <w:rsid w:val="3E024EDA"/>
    <w:rsid w:val="3E4A566B"/>
    <w:rsid w:val="3E577437"/>
    <w:rsid w:val="3EBF114C"/>
    <w:rsid w:val="400861F5"/>
    <w:rsid w:val="4086221A"/>
    <w:rsid w:val="409558F0"/>
    <w:rsid w:val="40A11BC6"/>
    <w:rsid w:val="40B053D7"/>
    <w:rsid w:val="40CE0BFC"/>
    <w:rsid w:val="40F5054D"/>
    <w:rsid w:val="41A05B22"/>
    <w:rsid w:val="42E02CAB"/>
    <w:rsid w:val="42F32F63"/>
    <w:rsid w:val="4365638F"/>
    <w:rsid w:val="43866199"/>
    <w:rsid w:val="447F5EC2"/>
    <w:rsid w:val="44884E24"/>
    <w:rsid w:val="45A53D33"/>
    <w:rsid w:val="45E430C1"/>
    <w:rsid w:val="469D4D26"/>
    <w:rsid w:val="46F34946"/>
    <w:rsid w:val="4724046D"/>
    <w:rsid w:val="47AC3472"/>
    <w:rsid w:val="47F00E85"/>
    <w:rsid w:val="48934632"/>
    <w:rsid w:val="491D5CAA"/>
    <w:rsid w:val="49A40179"/>
    <w:rsid w:val="4A34154D"/>
    <w:rsid w:val="4A7453FF"/>
    <w:rsid w:val="4A9B5A20"/>
    <w:rsid w:val="4AB368C6"/>
    <w:rsid w:val="4B0740BB"/>
    <w:rsid w:val="4B1B26BD"/>
    <w:rsid w:val="4B4068E5"/>
    <w:rsid w:val="4BC0599B"/>
    <w:rsid w:val="4C3702B4"/>
    <w:rsid w:val="4C501CA9"/>
    <w:rsid w:val="4D740FD0"/>
    <w:rsid w:val="4D833230"/>
    <w:rsid w:val="4E1818D1"/>
    <w:rsid w:val="4E355844"/>
    <w:rsid w:val="4E557C94"/>
    <w:rsid w:val="4EC90445"/>
    <w:rsid w:val="4ED3679E"/>
    <w:rsid w:val="4F2833E3"/>
    <w:rsid w:val="5076286F"/>
    <w:rsid w:val="50830AE8"/>
    <w:rsid w:val="511F5FE2"/>
    <w:rsid w:val="51656440"/>
    <w:rsid w:val="519F1952"/>
    <w:rsid w:val="51C16E61"/>
    <w:rsid w:val="52237B12"/>
    <w:rsid w:val="525F7333"/>
    <w:rsid w:val="52833397"/>
    <w:rsid w:val="529A65BD"/>
    <w:rsid w:val="52C5188C"/>
    <w:rsid w:val="52F60580"/>
    <w:rsid w:val="5362168D"/>
    <w:rsid w:val="538B66CB"/>
    <w:rsid w:val="54216F96"/>
    <w:rsid w:val="545804DE"/>
    <w:rsid w:val="54817A35"/>
    <w:rsid w:val="54BA6AA3"/>
    <w:rsid w:val="54C238D1"/>
    <w:rsid w:val="54CF07A0"/>
    <w:rsid w:val="553B7BE4"/>
    <w:rsid w:val="556B318E"/>
    <w:rsid w:val="55D87746"/>
    <w:rsid w:val="56094F2A"/>
    <w:rsid w:val="568A7032"/>
    <w:rsid w:val="575C6D34"/>
    <w:rsid w:val="57AC47E6"/>
    <w:rsid w:val="5855163F"/>
    <w:rsid w:val="587330D5"/>
    <w:rsid w:val="58776C73"/>
    <w:rsid w:val="58947C10"/>
    <w:rsid w:val="58CB127E"/>
    <w:rsid w:val="58DA7713"/>
    <w:rsid w:val="59C6644B"/>
    <w:rsid w:val="59D12FFD"/>
    <w:rsid w:val="5A5F40AC"/>
    <w:rsid w:val="5AFE6FCB"/>
    <w:rsid w:val="5B153AD5"/>
    <w:rsid w:val="5BB61AB8"/>
    <w:rsid w:val="5BC528FD"/>
    <w:rsid w:val="5C8400C2"/>
    <w:rsid w:val="5CEA610D"/>
    <w:rsid w:val="5DED4B55"/>
    <w:rsid w:val="5E084D23"/>
    <w:rsid w:val="5E4B307D"/>
    <w:rsid w:val="5E617BB3"/>
    <w:rsid w:val="5EB960D1"/>
    <w:rsid w:val="5F15455A"/>
    <w:rsid w:val="5FB61234"/>
    <w:rsid w:val="60170588"/>
    <w:rsid w:val="602776E2"/>
    <w:rsid w:val="60695F4D"/>
    <w:rsid w:val="614C3307"/>
    <w:rsid w:val="614D13CA"/>
    <w:rsid w:val="61D05B58"/>
    <w:rsid w:val="61DB671D"/>
    <w:rsid w:val="62816E52"/>
    <w:rsid w:val="637F2343"/>
    <w:rsid w:val="63B342EE"/>
    <w:rsid w:val="63F0603D"/>
    <w:rsid w:val="651B17E0"/>
    <w:rsid w:val="65B55790"/>
    <w:rsid w:val="66036E87"/>
    <w:rsid w:val="66666A8A"/>
    <w:rsid w:val="66680A54"/>
    <w:rsid w:val="6753700F"/>
    <w:rsid w:val="675C7A3B"/>
    <w:rsid w:val="677034C0"/>
    <w:rsid w:val="67E1461B"/>
    <w:rsid w:val="67E75379"/>
    <w:rsid w:val="67EE1325"/>
    <w:rsid w:val="6837248C"/>
    <w:rsid w:val="688B552A"/>
    <w:rsid w:val="68AE28C1"/>
    <w:rsid w:val="68B166E3"/>
    <w:rsid w:val="68E00D76"/>
    <w:rsid w:val="699A40C3"/>
    <w:rsid w:val="69DD52B6"/>
    <w:rsid w:val="6A701AF0"/>
    <w:rsid w:val="6A8A3E6E"/>
    <w:rsid w:val="6A8D6A74"/>
    <w:rsid w:val="6A902328"/>
    <w:rsid w:val="6AA3576D"/>
    <w:rsid w:val="6B1F2F91"/>
    <w:rsid w:val="6BDD2BFA"/>
    <w:rsid w:val="6C5A7637"/>
    <w:rsid w:val="6CB53614"/>
    <w:rsid w:val="6D001DC1"/>
    <w:rsid w:val="6D340194"/>
    <w:rsid w:val="6DC40653"/>
    <w:rsid w:val="6DD810E9"/>
    <w:rsid w:val="6E973359"/>
    <w:rsid w:val="6EE64C0C"/>
    <w:rsid w:val="6FA66BA0"/>
    <w:rsid w:val="6FBE3493"/>
    <w:rsid w:val="712B2DAA"/>
    <w:rsid w:val="713671EB"/>
    <w:rsid w:val="71A836CC"/>
    <w:rsid w:val="71B16559"/>
    <w:rsid w:val="728D3325"/>
    <w:rsid w:val="735D5655"/>
    <w:rsid w:val="73B83F34"/>
    <w:rsid w:val="73DB2866"/>
    <w:rsid w:val="73E84F83"/>
    <w:rsid w:val="74B4029F"/>
    <w:rsid w:val="75316B26"/>
    <w:rsid w:val="757C3BD5"/>
    <w:rsid w:val="75B0044D"/>
    <w:rsid w:val="762164BD"/>
    <w:rsid w:val="76346DA4"/>
    <w:rsid w:val="76777FA8"/>
    <w:rsid w:val="778D5A00"/>
    <w:rsid w:val="77DD4321"/>
    <w:rsid w:val="7820118F"/>
    <w:rsid w:val="79A715FB"/>
    <w:rsid w:val="7A432F13"/>
    <w:rsid w:val="7A4A51A2"/>
    <w:rsid w:val="7AAF14A3"/>
    <w:rsid w:val="7AB91427"/>
    <w:rsid w:val="7AC322A6"/>
    <w:rsid w:val="7AEA60BE"/>
    <w:rsid w:val="7B4C1091"/>
    <w:rsid w:val="7BC57958"/>
    <w:rsid w:val="7BD77DB7"/>
    <w:rsid w:val="7BFC2078"/>
    <w:rsid w:val="7C6B3713"/>
    <w:rsid w:val="7D0C0C68"/>
    <w:rsid w:val="7D7D0EC6"/>
    <w:rsid w:val="7E2809D3"/>
    <w:rsid w:val="7E307C52"/>
    <w:rsid w:val="7E5A4B02"/>
    <w:rsid w:val="7E9006F1"/>
    <w:rsid w:val="7F7818B1"/>
    <w:rsid w:val="7FE1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b/>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4</Pages>
  <Words>1377</Words>
  <Characters>1473</Characters>
  <Lines>13</Lines>
  <Paragraphs>3</Paragraphs>
  <TotalTime>4</TotalTime>
  <ScaleCrop>false</ScaleCrop>
  <LinksUpToDate>false</LinksUpToDate>
  <CharactersWithSpaces>1475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2025-04-01T11:38:00Z</dcterms:created>
  <dc:creator>林玉君</dc:creator>
  <cp:lastModifiedBy>林玉君</cp:lastModifiedBy>
  <dcterms:modified xsi:type="dcterms:W3CDTF">2025-05-07T07:12:35Z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9D141E02F2384B5E94771A9243919C62_13</vt:lpwstr>
  </property>
  <property fmtid="{D5CDD505-2E9C-101B-9397-08002B2CF9AE}" pid="4" name="KSOTemplateDocerSaveRecord">
    <vt:lpwstr>eyJoZGlkIjoiZWNiMGU3ZjdjNTdlZGYyYmJlM2Q5NjBkNGI4MDk3ZmQiLCJ1c2VySWQiOiI3MTc4MzU2OTIifQ==</vt:lpwstr>
  </property>
</Properties>
</file>